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572E" w:rsidRPr="007E6D98" w:rsidRDefault="0083572E" w:rsidP="0083572E">
      <w:pPr>
        <w:spacing w:line="280" w:lineRule="exact"/>
        <w:ind w:firstLine="709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Об </w:t>
      </w:r>
      <w:r w:rsidR="00CB0180">
        <w:rPr>
          <w:b/>
          <w:sz w:val="30"/>
          <w:szCs w:val="30"/>
        </w:rPr>
        <w:t>использовании</w:t>
      </w:r>
      <w:bookmarkStart w:id="0" w:name="_GoBack"/>
      <w:bookmarkEnd w:id="0"/>
      <w:r w:rsidRPr="007E6D98">
        <w:rPr>
          <w:b/>
          <w:sz w:val="30"/>
          <w:szCs w:val="30"/>
        </w:rPr>
        <w:t xml:space="preserve"> кассового оборудования при реализации</w:t>
      </w:r>
      <w:r>
        <w:rPr>
          <w:b/>
          <w:sz w:val="30"/>
          <w:szCs w:val="30"/>
        </w:rPr>
        <w:t xml:space="preserve"> товаров, подлежащих маркировке в </w:t>
      </w:r>
      <w:r w:rsidRPr="007E6D98">
        <w:rPr>
          <w:b/>
          <w:sz w:val="30"/>
          <w:szCs w:val="30"/>
        </w:rPr>
        <w:t>сетях ресторанов быстрого питания</w:t>
      </w:r>
    </w:p>
    <w:p w:rsidR="0083572E" w:rsidRPr="00C6057A" w:rsidRDefault="0083572E" w:rsidP="0083572E">
      <w:pPr>
        <w:spacing w:line="280" w:lineRule="exact"/>
        <w:ind w:firstLine="709"/>
        <w:jc w:val="center"/>
        <w:rPr>
          <w:sz w:val="30"/>
          <w:szCs w:val="30"/>
        </w:rPr>
      </w:pPr>
    </w:p>
    <w:p w:rsidR="0083572E" w:rsidRDefault="0083572E" w:rsidP="0083572E">
      <w:pPr>
        <w:tabs>
          <w:tab w:val="left" w:pos="4536"/>
        </w:tabs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Министерство по налогам и </w:t>
      </w:r>
      <w:r w:rsidRPr="00F4551D">
        <w:rPr>
          <w:sz w:val="30"/>
          <w:szCs w:val="30"/>
        </w:rPr>
        <w:t>сборам</w:t>
      </w:r>
      <w:r>
        <w:rPr>
          <w:sz w:val="30"/>
          <w:szCs w:val="30"/>
        </w:rPr>
        <w:t xml:space="preserve"> в связи с поступающими обращениями субъектов хозяйствования по вопросу использования кассового оборудования при реализации товаров, подлежащих маркировке, в</w:t>
      </w:r>
      <w:r w:rsidRPr="007E6D98">
        <w:rPr>
          <w:sz w:val="30"/>
          <w:szCs w:val="30"/>
        </w:rPr>
        <w:t xml:space="preserve"> </w:t>
      </w:r>
      <w:r>
        <w:rPr>
          <w:sz w:val="30"/>
          <w:szCs w:val="30"/>
        </w:rPr>
        <w:t>ресторанах быстрого питания с</w:t>
      </w:r>
      <w:r w:rsidRPr="00F4551D">
        <w:rPr>
          <w:sz w:val="30"/>
          <w:szCs w:val="30"/>
        </w:rPr>
        <w:t>ообщает</w:t>
      </w:r>
      <w:r>
        <w:rPr>
          <w:sz w:val="30"/>
          <w:szCs w:val="30"/>
        </w:rPr>
        <w:t>.</w:t>
      </w:r>
    </w:p>
    <w:p w:rsidR="0083572E" w:rsidRPr="00294220" w:rsidRDefault="0083572E" w:rsidP="0083572E">
      <w:pPr>
        <w:ind w:firstLine="709"/>
        <w:jc w:val="both"/>
        <w:rPr>
          <w:sz w:val="30"/>
        </w:rPr>
      </w:pPr>
      <w:r>
        <w:rPr>
          <w:sz w:val="30"/>
        </w:rPr>
        <w:t>Согласно</w:t>
      </w:r>
      <w:r w:rsidRPr="00294220">
        <w:rPr>
          <w:sz w:val="30"/>
        </w:rPr>
        <w:t xml:space="preserve"> </w:t>
      </w:r>
      <w:r w:rsidRPr="00294220">
        <w:rPr>
          <w:rFonts w:eastAsia="Calibri"/>
          <w:sz w:val="30"/>
          <w:szCs w:val="30"/>
        </w:rPr>
        <w:t>пункт</w:t>
      </w:r>
      <w:r>
        <w:rPr>
          <w:rFonts w:eastAsia="Calibri"/>
          <w:sz w:val="30"/>
          <w:szCs w:val="30"/>
        </w:rPr>
        <w:t>у</w:t>
      </w:r>
      <w:r w:rsidRPr="00294220">
        <w:rPr>
          <w:rFonts w:eastAsia="Calibri"/>
          <w:sz w:val="30"/>
          <w:szCs w:val="30"/>
        </w:rPr>
        <w:t xml:space="preserve"> 10</w:t>
      </w:r>
      <w:r w:rsidRPr="00294220">
        <w:rPr>
          <w:rFonts w:eastAsia="Calibri"/>
          <w:sz w:val="30"/>
          <w:szCs w:val="30"/>
          <w:vertAlign w:val="superscript"/>
        </w:rPr>
        <w:t>1</w:t>
      </w:r>
      <w:r w:rsidRPr="00294220">
        <w:rPr>
          <w:rFonts w:eastAsia="Calibri"/>
          <w:sz w:val="30"/>
          <w:szCs w:val="30"/>
        </w:rPr>
        <w:t xml:space="preserve"> Положения </w:t>
      </w:r>
      <w:r w:rsidRPr="00015CD0">
        <w:rPr>
          <w:sz w:val="30"/>
          <w:szCs w:val="30"/>
        </w:rPr>
        <w:t>об использовании кассового и иного оборудования при приеме средств платежа</w:t>
      </w:r>
      <w:r>
        <w:rPr>
          <w:sz w:val="30"/>
          <w:szCs w:val="30"/>
        </w:rPr>
        <w:t xml:space="preserve">, утвержденного </w:t>
      </w:r>
      <w:r w:rsidRPr="00015CD0">
        <w:rPr>
          <w:sz w:val="30"/>
          <w:szCs w:val="30"/>
        </w:rPr>
        <w:t xml:space="preserve">постановлением Совета Министров Республики Беларусь и Национального банка Республики Беларусь от 6 июля 2011 г. № 924/16 (далее </w:t>
      </w:r>
      <w:r>
        <w:rPr>
          <w:sz w:val="30"/>
          <w:szCs w:val="30"/>
        </w:rPr>
        <w:t>–</w:t>
      </w:r>
      <w:r w:rsidRPr="00015CD0">
        <w:rPr>
          <w:sz w:val="30"/>
          <w:szCs w:val="30"/>
        </w:rPr>
        <w:t xml:space="preserve"> Положение</w:t>
      </w:r>
      <w:r>
        <w:rPr>
          <w:sz w:val="30"/>
          <w:szCs w:val="30"/>
        </w:rPr>
        <w:t xml:space="preserve"> </w:t>
      </w:r>
      <w:r w:rsidRPr="00015CD0">
        <w:rPr>
          <w:sz w:val="30"/>
          <w:szCs w:val="30"/>
        </w:rPr>
        <w:t>№ 924/16)</w:t>
      </w:r>
      <w:r>
        <w:rPr>
          <w:sz w:val="30"/>
          <w:szCs w:val="30"/>
        </w:rPr>
        <w:t xml:space="preserve">, </w:t>
      </w:r>
      <w:r w:rsidRPr="00294220">
        <w:rPr>
          <w:b/>
          <w:sz w:val="30"/>
        </w:rPr>
        <w:t>с 1 июля 2025</w:t>
      </w:r>
      <w:r w:rsidRPr="00294220">
        <w:rPr>
          <w:sz w:val="30"/>
        </w:rPr>
        <w:t xml:space="preserve"> года юридические лица и индивидуальные предприниматели, осуществляющие продажу </w:t>
      </w:r>
      <w:r w:rsidRPr="00294220">
        <w:rPr>
          <w:b/>
          <w:bCs/>
          <w:sz w:val="30"/>
        </w:rPr>
        <w:t xml:space="preserve">товаров, </w:t>
      </w:r>
      <w:r w:rsidRPr="00294220">
        <w:rPr>
          <w:sz w:val="30"/>
          <w:szCs w:val="30"/>
        </w:rPr>
        <w:t xml:space="preserve"> включенных в перечень товаров, </w:t>
      </w:r>
      <w:r w:rsidRPr="005132C3">
        <w:rPr>
          <w:sz w:val="30"/>
          <w:szCs w:val="30"/>
        </w:rPr>
        <w:t>подлежащих маркировке средствами идентификации</w:t>
      </w:r>
      <w:r>
        <w:rPr>
          <w:sz w:val="30"/>
          <w:szCs w:val="30"/>
        </w:rPr>
        <w:t xml:space="preserve"> или </w:t>
      </w:r>
      <w:r w:rsidRPr="00294220">
        <w:rPr>
          <w:sz w:val="30"/>
          <w:szCs w:val="30"/>
        </w:rPr>
        <w:t>унифицированными контрольными знаками (далее – товары, подлежащие маркировке),</w:t>
      </w:r>
      <w:r w:rsidRPr="00294220">
        <w:rPr>
          <w:sz w:val="30"/>
        </w:rPr>
        <w:t xml:space="preserve"> используют кассовые суммирующие аппараты с установленным средс</w:t>
      </w:r>
      <w:r>
        <w:rPr>
          <w:sz w:val="30"/>
        </w:rPr>
        <w:t>твом контроля налоговых органов</w:t>
      </w:r>
      <w:r w:rsidRPr="00294220">
        <w:rPr>
          <w:sz w:val="30"/>
        </w:rPr>
        <w:t xml:space="preserve"> и программные кассы, обеспечивающие:</w:t>
      </w:r>
    </w:p>
    <w:p w:rsidR="0083572E" w:rsidRPr="00294220" w:rsidRDefault="0083572E" w:rsidP="0083572E">
      <w:pPr>
        <w:ind w:firstLine="709"/>
        <w:jc w:val="both"/>
        <w:rPr>
          <w:sz w:val="30"/>
        </w:rPr>
      </w:pPr>
      <w:r w:rsidRPr="00A81CA5">
        <w:rPr>
          <w:b/>
          <w:sz w:val="30"/>
        </w:rPr>
        <w:t>считывание</w:t>
      </w:r>
      <w:r w:rsidRPr="00294220">
        <w:rPr>
          <w:sz w:val="30"/>
        </w:rPr>
        <w:t xml:space="preserve"> кода маркировки и уникальной последовательности символов в машиночитаемой форме, представленной в виде двумерного штрихового кода </w:t>
      </w:r>
      <w:proofErr w:type="spellStart"/>
      <w:r w:rsidRPr="00294220">
        <w:rPr>
          <w:sz w:val="30"/>
        </w:rPr>
        <w:t>DataMatrix</w:t>
      </w:r>
      <w:proofErr w:type="spellEnd"/>
      <w:r w:rsidRPr="00294220">
        <w:rPr>
          <w:sz w:val="30"/>
        </w:rPr>
        <w:t>, включающей в себя переменную информацию, в том числе серию и номер унифицированного контрольного знака (далее – уникальная последовательность), нанесенных на каждую единицу товара, подлежащего маркировке;</w:t>
      </w:r>
    </w:p>
    <w:p w:rsidR="0083572E" w:rsidRPr="00294220" w:rsidRDefault="0083572E" w:rsidP="0083572E">
      <w:pPr>
        <w:ind w:firstLine="709"/>
        <w:jc w:val="both"/>
        <w:rPr>
          <w:sz w:val="30"/>
        </w:rPr>
      </w:pPr>
      <w:r w:rsidRPr="00294220">
        <w:rPr>
          <w:b/>
          <w:bCs/>
          <w:sz w:val="30"/>
        </w:rPr>
        <w:t>дифференцированный учет</w:t>
      </w:r>
      <w:r w:rsidRPr="00294220">
        <w:rPr>
          <w:sz w:val="30"/>
        </w:rPr>
        <w:t xml:space="preserve"> данных о реализуемых товарах, предусмотренный в пункте 10 Положения </w:t>
      </w:r>
      <w:r w:rsidRPr="00294220">
        <w:rPr>
          <w:spacing w:val="-10"/>
          <w:sz w:val="30"/>
          <w:szCs w:val="30"/>
        </w:rPr>
        <w:t xml:space="preserve">№ </w:t>
      </w:r>
      <w:r w:rsidRPr="00294220">
        <w:rPr>
          <w:sz w:val="30"/>
        </w:rPr>
        <w:t>924/16;</w:t>
      </w:r>
    </w:p>
    <w:p w:rsidR="0083572E" w:rsidRPr="00294220" w:rsidRDefault="0083572E" w:rsidP="0083572E">
      <w:pPr>
        <w:ind w:firstLine="709"/>
        <w:jc w:val="both"/>
        <w:rPr>
          <w:sz w:val="30"/>
        </w:rPr>
      </w:pPr>
      <w:r w:rsidRPr="00A81CA5">
        <w:rPr>
          <w:b/>
          <w:sz w:val="30"/>
        </w:rPr>
        <w:t>передачу информации</w:t>
      </w:r>
      <w:r w:rsidRPr="00294220">
        <w:rPr>
          <w:sz w:val="30"/>
        </w:rPr>
        <w:t xml:space="preserve"> о коде маркировки или уникальной последовательности</w:t>
      </w:r>
      <w:r>
        <w:rPr>
          <w:sz w:val="30"/>
        </w:rPr>
        <w:t xml:space="preserve"> </w:t>
      </w:r>
      <w:r w:rsidRPr="00A81CA5">
        <w:rPr>
          <w:b/>
          <w:sz w:val="30"/>
        </w:rPr>
        <w:t>в систему контроля кассового оборудования</w:t>
      </w:r>
      <w:r>
        <w:rPr>
          <w:b/>
          <w:sz w:val="30"/>
        </w:rPr>
        <w:t xml:space="preserve"> </w:t>
      </w:r>
      <w:r>
        <w:rPr>
          <w:b/>
          <w:sz w:val="30"/>
        </w:rPr>
        <w:br/>
        <w:t>(далее – СККО)</w:t>
      </w:r>
      <w:r w:rsidRPr="00294220">
        <w:rPr>
          <w:sz w:val="30"/>
        </w:rPr>
        <w:t xml:space="preserve"> в соответствии с требованиями, определенными Министерством по налогам и сборам и Государственным комитетом по стандартизации к кассовым аппаратам или программным кассам.</w:t>
      </w:r>
    </w:p>
    <w:p w:rsidR="0083572E" w:rsidRDefault="0083572E" w:rsidP="008357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Учитывая специфику работы </w:t>
      </w:r>
      <w:r w:rsidRPr="001D5C6F">
        <w:rPr>
          <w:sz w:val="30"/>
          <w:szCs w:val="30"/>
        </w:rPr>
        <w:t>ресторанов</w:t>
      </w:r>
      <w:r>
        <w:rPr>
          <w:sz w:val="30"/>
          <w:szCs w:val="30"/>
        </w:rPr>
        <w:t xml:space="preserve"> быстрого питания, в</w:t>
      </w:r>
      <w:r w:rsidRPr="001D5C6F">
        <w:rPr>
          <w:sz w:val="30"/>
          <w:szCs w:val="30"/>
        </w:rPr>
        <w:t xml:space="preserve"> которых </w:t>
      </w:r>
      <w:r>
        <w:rPr>
          <w:sz w:val="30"/>
          <w:szCs w:val="30"/>
        </w:rPr>
        <w:t>момент</w:t>
      </w:r>
      <w:r w:rsidRPr="001D5C6F">
        <w:rPr>
          <w:sz w:val="30"/>
          <w:szCs w:val="30"/>
        </w:rPr>
        <w:t xml:space="preserve"> оплаты товара </w:t>
      </w:r>
      <w:r>
        <w:rPr>
          <w:sz w:val="30"/>
          <w:szCs w:val="30"/>
        </w:rPr>
        <w:t>и</w:t>
      </w:r>
      <w:r w:rsidRPr="001D5C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его </w:t>
      </w:r>
      <w:r w:rsidRPr="001D5C6F">
        <w:rPr>
          <w:sz w:val="30"/>
          <w:szCs w:val="30"/>
        </w:rPr>
        <w:t>выдач</w:t>
      </w:r>
      <w:r>
        <w:rPr>
          <w:sz w:val="30"/>
          <w:szCs w:val="30"/>
        </w:rPr>
        <w:t>а</w:t>
      </w:r>
      <w:r w:rsidRPr="001D5C6F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не совпадают, полагаем возможным передавать информацию </w:t>
      </w:r>
      <w:r w:rsidRPr="00294220">
        <w:rPr>
          <w:sz w:val="30"/>
        </w:rPr>
        <w:t>о коде маркировки или уникальной последовательности</w:t>
      </w:r>
      <w:r>
        <w:rPr>
          <w:sz w:val="30"/>
        </w:rPr>
        <w:t xml:space="preserve"> </w:t>
      </w:r>
      <w:r w:rsidRPr="00015CD0">
        <w:rPr>
          <w:sz w:val="30"/>
          <w:szCs w:val="30"/>
        </w:rPr>
        <w:t xml:space="preserve">посредством открытого интерфейса программирования приложений, предоставленного республиканским унитарным предприятием «Информационно-издательский центр по налогам </w:t>
      </w:r>
      <w:r>
        <w:rPr>
          <w:sz w:val="30"/>
          <w:szCs w:val="30"/>
        </w:rPr>
        <w:t xml:space="preserve">и сборам» (описание </w:t>
      </w:r>
      <w:r w:rsidRPr="00015CD0">
        <w:rPr>
          <w:sz w:val="30"/>
          <w:szCs w:val="30"/>
          <w:lang w:val="en-US"/>
        </w:rPr>
        <w:t>API</w:t>
      </w:r>
      <w:r>
        <w:rPr>
          <w:sz w:val="30"/>
          <w:szCs w:val="30"/>
        </w:rPr>
        <w:t xml:space="preserve"> интерфейса прилагается). Передача информации </w:t>
      </w:r>
      <w:r w:rsidRPr="00294220">
        <w:rPr>
          <w:sz w:val="30"/>
          <w:szCs w:val="24"/>
        </w:rPr>
        <w:t xml:space="preserve">о коде маркировки или уникальной </w:t>
      </w:r>
      <w:r w:rsidRPr="00165ACB">
        <w:rPr>
          <w:sz w:val="30"/>
          <w:szCs w:val="24"/>
        </w:rPr>
        <w:t>последовательности</w:t>
      </w:r>
      <w:r>
        <w:rPr>
          <w:sz w:val="30"/>
          <w:szCs w:val="24"/>
        </w:rPr>
        <w:t xml:space="preserve"> </w:t>
      </w:r>
      <w:r w:rsidRPr="00165ACB">
        <w:rPr>
          <w:sz w:val="30"/>
          <w:szCs w:val="24"/>
        </w:rPr>
        <w:t>в СККО</w:t>
      </w:r>
      <w:r>
        <w:rPr>
          <w:sz w:val="30"/>
          <w:szCs w:val="24"/>
        </w:rPr>
        <w:t xml:space="preserve"> посредством А</w:t>
      </w:r>
      <w:r>
        <w:rPr>
          <w:sz w:val="30"/>
          <w:szCs w:val="24"/>
          <w:lang w:val="en-US"/>
        </w:rPr>
        <w:t>PI</w:t>
      </w:r>
      <w:r>
        <w:rPr>
          <w:b/>
          <w:sz w:val="30"/>
          <w:szCs w:val="24"/>
        </w:rPr>
        <w:t xml:space="preserve"> </w:t>
      </w:r>
      <w:r>
        <w:rPr>
          <w:sz w:val="30"/>
          <w:szCs w:val="30"/>
        </w:rPr>
        <w:t>интерфейс</w:t>
      </w:r>
      <w:r w:rsidRPr="00A5259C">
        <w:rPr>
          <w:sz w:val="30"/>
          <w:szCs w:val="30"/>
        </w:rPr>
        <w:t>а</w:t>
      </w:r>
      <w:r>
        <w:rPr>
          <w:b/>
          <w:sz w:val="30"/>
          <w:szCs w:val="30"/>
        </w:rPr>
        <w:t xml:space="preserve"> должна быть обеспечена </w:t>
      </w:r>
      <w:r w:rsidRPr="005B0E04">
        <w:rPr>
          <w:b/>
          <w:sz w:val="30"/>
          <w:szCs w:val="30"/>
        </w:rPr>
        <w:t>не реже</w:t>
      </w:r>
      <w:r>
        <w:rPr>
          <w:sz w:val="30"/>
          <w:szCs w:val="30"/>
        </w:rPr>
        <w:t>, чем один раз в семь дней.</w:t>
      </w:r>
    </w:p>
    <w:p w:rsidR="0083572E" w:rsidRDefault="0083572E" w:rsidP="0083572E">
      <w:pPr>
        <w:autoSpaceDE w:val="0"/>
        <w:autoSpaceDN w:val="0"/>
        <w:adjustRightInd w:val="0"/>
        <w:ind w:firstLine="708"/>
        <w:jc w:val="both"/>
        <w:rPr>
          <w:sz w:val="30"/>
        </w:rPr>
      </w:pPr>
      <w:r>
        <w:rPr>
          <w:sz w:val="30"/>
          <w:szCs w:val="30"/>
        </w:rPr>
        <w:lastRenderedPageBreak/>
        <w:t xml:space="preserve">Передача такой информации не освобождает субъектов хозяйствования от использования кассового оборудования, с использованием которого должны проводиться суммы принятых платежей. При этом считывать и передавать в СККО информацию </w:t>
      </w:r>
      <w:r w:rsidRPr="00294220">
        <w:rPr>
          <w:sz w:val="30"/>
        </w:rPr>
        <w:t>коде маркировки или уникальной последовательности</w:t>
      </w:r>
      <w:r>
        <w:rPr>
          <w:sz w:val="30"/>
        </w:rPr>
        <w:t xml:space="preserve"> с использованием кассового оборудования не требуется.</w:t>
      </w:r>
    </w:p>
    <w:p w:rsidR="0083572E" w:rsidRDefault="0083572E" w:rsidP="00835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Pr="005A7665">
        <w:rPr>
          <w:sz w:val="30"/>
          <w:szCs w:val="30"/>
        </w:rPr>
        <w:t xml:space="preserve">ля </w:t>
      </w:r>
      <w:r>
        <w:rPr>
          <w:sz w:val="30"/>
          <w:szCs w:val="30"/>
        </w:rPr>
        <w:t xml:space="preserve">организации </w:t>
      </w:r>
      <w:r w:rsidRPr="005A7665">
        <w:rPr>
          <w:sz w:val="30"/>
          <w:szCs w:val="30"/>
        </w:rPr>
        <w:t xml:space="preserve">передачи </w:t>
      </w:r>
      <w:r>
        <w:rPr>
          <w:sz w:val="30"/>
          <w:szCs w:val="24"/>
        </w:rPr>
        <w:t>посредством А</w:t>
      </w:r>
      <w:r>
        <w:rPr>
          <w:sz w:val="30"/>
          <w:szCs w:val="24"/>
          <w:lang w:val="en-US"/>
        </w:rPr>
        <w:t>PI</w:t>
      </w:r>
      <w:r>
        <w:rPr>
          <w:b/>
          <w:sz w:val="30"/>
          <w:szCs w:val="24"/>
        </w:rPr>
        <w:t xml:space="preserve"> </w:t>
      </w:r>
      <w:r>
        <w:rPr>
          <w:sz w:val="30"/>
          <w:szCs w:val="30"/>
        </w:rPr>
        <w:t>интерфейс</w:t>
      </w:r>
      <w:r w:rsidRPr="00A5259C">
        <w:rPr>
          <w:sz w:val="30"/>
          <w:szCs w:val="30"/>
        </w:rPr>
        <w:t>а</w:t>
      </w:r>
      <w:r>
        <w:rPr>
          <w:b/>
          <w:sz w:val="30"/>
          <w:szCs w:val="30"/>
        </w:rPr>
        <w:t xml:space="preserve"> </w:t>
      </w:r>
      <w:r w:rsidRPr="005A7665">
        <w:rPr>
          <w:sz w:val="30"/>
          <w:szCs w:val="30"/>
        </w:rPr>
        <w:t>информации</w:t>
      </w:r>
      <w:r>
        <w:rPr>
          <w:sz w:val="30"/>
          <w:szCs w:val="30"/>
        </w:rPr>
        <w:t xml:space="preserve"> </w:t>
      </w:r>
      <w:r w:rsidRPr="005A7665">
        <w:rPr>
          <w:sz w:val="30"/>
          <w:szCs w:val="30"/>
        </w:rPr>
        <w:t>о продаже маркированного товара (либо при его возврате) в СККО необходимо для эксплуатируемой товарно-учетной системы</w:t>
      </w:r>
      <w:r>
        <w:rPr>
          <w:sz w:val="30"/>
          <w:szCs w:val="30"/>
        </w:rPr>
        <w:t xml:space="preserve"> субъекта хозяйствования</w:t>
      </w:r>
      <w:r w:rsidRPr="005A7665">
        <w:rPr>
          <w:sz w:val="30"/>
          <w:szCs w:val="30"/>
        </w:rPr>
        <w:t xml:space="preserve"> разработать программное обеспечение API в соответствии с документом РУП ИИЦ «Инструкция API» (размещен на сайте </w:t>
      </w:r>
      <w:hyperlink r:id="rId4" w:history="1">
        <w:r w:rsidRPr="00D57776">
          <w:rPr>
            <w:rStyle w:val="a3"/>
            <w:sz w:val="30"/>
            <w:szCs w:val="30"/>
          </w:rPr>
          <w:t>https://info-center.by/upload/skko/Инструкция_API.pdf</w:t>
        </w:r>
      </w:hyperlink>
      <w:r w:rsidRPr="00850E58">
        <w:rPr>
          <w:sz w:val="30"/>
          <w:szCs w:val="30"/>
        </w:rPr>
        <w:t>.</w:t>
      </w:r>
      <w:r>
        <w:rPr>
          <w:sz w:val="30"/>
          <w:szCs w:val="30"/>
        </w:rPr>
        <w:t>).</w:t>
      </w:r>
    </w:p>
    <w:p w:rsidR="0083572E" w:rsidRPr="00D97973" w:rsidRDefault="0083572E" w:rsidP="0083572E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5A7665">
        <w:rPr>
          <w:sz w:val="30"/>
          <w:szCs w:val="30"/>
        </w:rPr>
        <w:t>Рекомендации для субъектов хозяйствования по обеспечению передачи информации о реализации товаров, подлежащих маркировке средствами идентификации, и (или) товаров, включенных в перечень товаров, подлежащих маркировке унифицированными контрольными знаками, посредством открытого интерфе</w:t>
      </w:r>
      <w:r>
        <w:rPr>
          <w:sz w:val="30"/>
          <w:szCs w:val="30"/>
        </w:rPr>
        <w:t>йса программирования приложений (размещены на сайте</w:t>
      </w:r>
      <w:r w:rsidRPr="00D97973">
        <w:rPr>
          <w:sz w:val="30"/>
          <w:szCs w:val="30"/>
        </w:rPr>
        <w:t xml:space="preserve"> </w:t>
      </w:r>
      <w:r w:rsidRPr="00D97973">
        <w:rPr>
          <w:rStyle w:val="a3"/>
          <w:sz w:val="30"/>
          <w:szCs w:val="30"/>
        </w:rPr>
        <w:t>https://info-center.by/serv/cashserv/rekomendatsii-dlya-razrabotchikov-api-interfeysa/</w:t>
      </w:r>
      <w:r w:rsidRPr="00D97973">
        <w:rPr>
          <w:sz w:val="30"/>
          <w:szCs w:val="30"/>
        </w:rPr>
        <w:t>)</w:t>
      </w:r>
      <w:r>
        <w:rPr>
          <w:sz w:val="30"/>
          <w:szCs w:val="30"/>
        </w:rPr>
        <w:t>.</w:t>
      </w:r>
    </w:p>
    <w:p w:rsidR="0083572E" w:rsidRDefault="0083572E" w:rsidP="0083572E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.</w:t>
      </w:r>
      <w:r>
        <w:rPr>
          <w:sz w:val="30"/>
          <w:szCs w:val="30"/>
        </w:rPr>
        <w:br w:type="page"/>
      </w:r>
    </w:p>
    <w:p w:rsidR="0083572E" w:rsidRPr="00C836BF" w:rsidRDefault="0083572E" w:rsidP="0083572E">
      <w:pPr>
        <w:keepNext/>
        <w:numPr>
          <w:ilvl w:val="1"/>
          <w:numId w:val="0"/>
        </w:numPr>
        <w:tabs>
          <w:tab w:val="left" w:pos="567"/>
        </w:tabs>
        <w:ind w:left="11" w:firstLineChars="263" w:firstLine="736"/>
        <w:jc w:val="center"/>
        <w:outlineLvl w:val="1"/>
        <w:rPr>
          <w:rFonts w:eastAsia="Arial"/>
          <w:bCs/>
          <w:color w:val="404040"/>
          <w:sz w:val="28"/>
          <w:szCs w:val="28"/>
          <w:lang w:eastAsia="zh-CN" w:bidi="zh-CN"/>
        </w:rPr>
      </w:pPr>
      <w:bookmarkStart w:id="1" w:name="_Toc1959103231"/>
      <w:r w:rsidRPr="00C836BF">
        <w:rPr>
          <w:rFonts w:eastAsia="Arial"/>
          <w:bCs/>
          <w:color w:val="404040"/>
          <w:sz w:val="28"/>
          <w:szCs w:val="28"/>
          <w:lang w:eastAsia="zh-CN" w:bidi="zh-CN"/>
        </w:rPr>
        <w:lastRenderedPageBreak/>
        <w:t>Сообщение о продаже маркированного товара</w:t>
      </w:r>
    </w:p>
    <w:p w:rsidR="0083572E" w:rsidRPr="00C836BF" w:rsidRDefault="0083572E" w:rsidP="0083572E">
      <w:pPr>
        <w:keepNext/>
        <w:numPr>
          <w:ilvl w:val="1"/>
          <w:numId w:val="0"/>
        </w:numPr>
        <w:tabs>
          <w:tab w:val="left" w:pos="567"/>
        </w:tabs>
        <w:ind w:left="11" w:firstLineChars="263" w:firstLine="736"/>
        <w:jc w:val="center"/>
        <w:outlineLvl w:val="1"/>
        <w:rPr>
          <w:rFonts w:eastAsia="Arial"/>
          <w:bCs/>
          <w:color w:val="404040"/>
          <w:sz w:val="28"/>
          <w:szCs w:val="28"/>
          <w:lang w:eastAsia="zh-CN" w:bidi="zh-CN"/>
        </w:rPr>
      </w:pPr>
      <w:r w:rsidRPr="00C836BF">
        <w:rPr>
          <w:rFonts w:eastAsia="Arial"/>
          <w:bCs/>
          <w:color w:val="404040"/>
          <w:sz w:val="28"/>
          <w:szCs w:val="28"/>
          <w:lang w:eastAsia="zh-CN" w:bidi="zh-CN"/>
        </w:rPr>
        <w:t>(</w:t>
      </w:r>
      <w:proofErr w:type="gramStart"/>
      <w:r w:rsidRPr="00C836BF">
        <w:rPr>
          <w:rFonts w:eastAsia="Arial"/>
          <w:bCs/>
          <w:color w:val="404040"/>
          <w:sz w:val="28"/>
          <w:szCs w:val="28"/>
          <w:lang w:eastAsia="zh-CN" w:bidi="zh-CN"/>
        </w:rPr>
        <w:t>для  СКС</w:t>
      </w:r>
      <w:proofErr w:type="gramEnd"/>
      <w:r w:rsidRPr="00C836BF">
        <w:rPr>
          <w:rFonts w:eastAsia="Arial"/>
          <w:bCs/>
          <w:color w:val="404040"/>
          <w:sz w:val="28"/>
          <w:szCs w:val="28"/>
          <w:lang w:eastAsia="zh-CN" w:bidi="zh-CN"/>
        </w:rPr>
        <w:t xml:space="preserve"> и для субъектов хозяйствования)</w:t>
      </w:r>
    </w:p>
    <w:p w:rsidR="0083572E" w:rsidRPr="00C836BF" w:rsidRDefault="0083572E" w:rsidP="0083572E">
      <w:pPr>
        <w:keepNext/>
        <w:numPr>
          <w:ilvl w:val="1"/>
          <w:numId w:val="0"/>
        </w:numPr>
        <w:tabs>
          <w:tab w:val="left" w:pos="567"/>
        </w:tabs>
        <w:ind w:left="11" w:firstLineChars="263" w:firstLine="736"/>
        <w:jc w:val="center"/>
        <w:outlineLvl w:val="1"/>
        <w:rPr>
          <w:rFonts w:eastAsia="Arial"/>
          <w:bCs/>
          <w:color w:val="404040"/>
          <w:sz w:val="28"/>
          <w:szCs w:val="28"/>
          <w:lang w:eastAsia="zh-CN" w:bidi="zh-CN"/>
        </w:rPr>
      </w:pPr>
    </w:p>
    <w:p w:rsidR="0083572E" w:rsidRPr="00C836BF" w:rsidRDefault="0083572E" w:rsidP="0083572E">
      <w:pPr>
        <w:keepNext/>
        <w:numPr>
          <w:ilvl w:val="1"/>
          <w:numId w:val="0"/>
        </w:numPr>
        <w:tabs>
          <w:tab w:val="left" w:pos="567"/>
        </w:tabs>
        <w:ind w:left="11" w:firstLineChars="263" w:firstLine="736"/>
        <w:jc w:val="both"/>
        <w:outlineLvl w:val="1"/>
        <w:rPr>
          <w:rFonts w:eastAsia="Arial"/>
          <w:bCs/>
          <w:color w:val="404040"/>
          <w:sz w:val="28"/>
          <w:szCs w:val="28"/>
          <w:lang w:eastAsia="zh-CN" w:bidi="zh-CN"/>
        </w:rPr>
      </w:pPr>
      <w:bookmarkStart w:id="2" w:name="_Toc185347276"/>
      <w:bookmarkEnd w:id="1"/>
      <w:r w:rsidRPr="00C836BF">
        <w:rPr>
          <w:rFonts w:eastAsia="Arial"/>
          <w:bCs/>
          <w:color w:val="404040"/>
          <w:sz w:val="28"/>
          <w:szCs w:val="28"/>
          <w:lang w:eastAsia="zh-CN" w:bidi="zh-CN"/>
        </w:rPr>
        <w:t>2.4.3.1 Информация, передаваемая в СККО при продаже маркированного товара</w:t>
      </w:r>
      <w:bookmarkEnd w:id="2"/>
    </w:p>
    <w:p w:rsidR="0083572E" w:rsidRPr="00C836BF" w:rsidRDefault="0083572E" w:rsidP="0083572E">
      <w:pPr>
        <w:rPr>
          <w:rFonts w:eastAsia="Calibri"/>
          <w:bCs/>
          <w:sz w:val="28"/>
          <w:szCs w:val="28"/>
          <w:lang w:val="be-BY" w:eastAsia="zh-CN" w:bidi="zh-CN"/>
        </w:rPr>
      </w:pPr>
      <w:r w:rsidRPr="00C836BF">
        <w:rPr>
          <w:rFonts w:eastAsia="Calibri"/>
          <w:bCs/>
          <w:sz w:val="28"/>
          <w:szCs w:val="28"/>
          <w:lang w:val="be-BY" w:eastAsia="zh-CN" w:bidi="zh-CN"/>
        </w:rPr>
        <w:t xml:space="preserve">Метод: </w:t>
      </w:r>
      <w:r w:rsidRPr="00C836BF">
        <w:rPr>
          <w:rFonts w:eastAsia="Calibri"/>
          <w:bCs/>
          <w:sz w:val="28"/>
          <w:szCs w:val="28"/>
          <w:lang w:val="en-US" w:eastAsia="zh-CN" w:bidi="zh-CN"/>
        </w:rPr>
        <w:t>POST</w:t>
      </w:r>
    </w:p>
    <w:p w:rsidR="0083572E" w:rsidRPr="00C836BF" w:rsidRDefault="0083572E" w:rsidP="0083572E">
      <w:pPr>
        <w:rPr>
          <w:rFonts w:eastAsia="Calibri"/>
          <w:bCs/>
          <w:sz w:val="28"/>
          <w:szCs w:val="28"/>
          <w:lang w:val="be-BY" w:eastAsia="zh-CN" w:bidi="zh-CN"/>
        </w:rPr>
      </w:pPr>
      <w:proofErr w:type="spellStart"/>
      <w:r w:rsidRPr="00C836BF">
        <w:rPr>
          <w:rFonts w:eastAsia="Calibri"/>
          <w:bCs/>
          <w:sz w:val="28"/>
          <w:szCs w:val="28"/>
          <w:lang w:val="en-US" w:eastAsia="zh-CN" w:bidi="zh-CN"/>
        </w:rPr>
        <w:t>Url</w:t>
      </w:r>
      <w:proofErr w:type="spellEnd"/>
      <w:r w:rsidRPr="00C836BF">
        <w:rPr>
          <w:rFonts w:eastAsia="Calibri"/>
          <w:bCs/>
          <w:sz w:val="28"/>
          <w:szCs w:val="28"/>
          <w:lang w:val="be-BY" w:eastAsia="zh-CN" w:bidi="zh-CN"/>
        </w:rPr>
        <w:t>: &lt;</w:t>
      </w:r>
      <w:proofErr w:type="spellStart"/>
      <w:r w:rsidRPr="00C836BF">
        <w:rPr>
          <w:rFonts w:eastAsia="Calibri"/>
          <w:bCs/>
          <w:sz w:val="28"/>
          <w:szCs w:val="28"/>
          <w:lang w:val="en-US" w:eastAsia="zh-CN" w:bidi="zh-CN"/>
        </w:rPr>
        <w:t>ip</w:t>
      </w:r>
      <w:proofErr w:type="spellEnd"/>
      <w:proofErr w:type="gramStart"/>
      <w:r w:rsidRPr="00C836BF">
        <w:rPr>
          <w:rFonts w:eastAsia="Calibri"/>
          <w:bCs/>
          <w:sz w:val="28"/>
          <w:szCs w:val="28"/>
          <w:lang w:val="be-BY" w:eastAsia="zh-CN" w:bidi="zh-CN"/>
        </w:rPr>
        <w:t>:</w:t>
      </w:r>
      <w:r w:rsidRPr="00C836BF">
        <w:rPr>
          <w:rFonts w:eastAsia="Calibri"/>
          <w:bCs/>
          <w:sz w:val="28"/>
          <w:szCs w:val="28"/>
          <w:lang w:val="en-US" w:eastAsia="zh-CN" w:bidi="zh-CN"/>
        </w:rPr>
        <w:t>port</w:t>
      </w:r>
      <w:proofErr w:type="gramEnd"/>
      <w:r w:rsidRPr="00C836BF">
        <w:rPr>
          <w:rFonts w:eastAsia="Calibri"/>
          <w:bCs/>
          <w:sz w:val="28"/>
          <w:szCs w:val="28"/>
          <w:lang w:val="be-BY" w:eastAsia="zh-CN" w:bidi="zh-CN"/>
        </w:rPr>
        <w:t>&gt;/</w:t>
      </w:r>
      <w:proofErr w:type="spellStart"/>
      <w:r w:rsidRPr="00C836BF">
        <w:rPr>
          <w:rFonts w:eastAsia="Calibri"/>
          <w:bCs/>
          <w:sz w:val="28"/>
          <w:szCs w:val="28"/>
          <w:lang w:val="en-US" w:eastAsia="zh-CN" w:bidi="zh-CN"/>
        </w:rPr>
        <w:t>sks</w:t>
      </w:r>
      <w:proofErr w:type="spellEnd"/>
      <w:r w:rsidRPr="00C836BF">
        <w:rPr>
          <w:rFonts w:eastAsia="Calibri"/>
          <w:bCs/>
          <w:sz w:val="28"/>
          <w:szCs w:val="28"/>
          <w:lang w:val="be-BY" w:eastAsia="zh-CN" w:bidi="zh-CN"/>
        </w:rPr>
        <w:t>/</w:t>
      </w:r>
      <w:r w:rsidRPr="00C836BF">
        <w:rPr>
          <w:rFonts w:eastAsia="Calibri"/>
          <w:bCs/>
          <w:sz w:val="28"/>
          <w:szCs w:val="28"/>
          <w:lang w:val="en-US" w:eastAsia="zh-CN" w:bidi="zh-CN"/>
        </w:rPr>
        <w:t>sale</w:t>
      </w:r>
    </w:p>
    <w:p w:rsidR="0083572E" w:rsidRPr="00C836BF" w:rsidRDefault="0083572E" w:rsidP="0083572E">
      <w:pPr>
        <w:rPr>
          <w:rFonts w:eastAsia="Calibri"/>
          <w:b/>
          <w:bCs/>
          <w:sz w:val="28"/>
          <w:szCs w:val="28"/>
          <w:lang w:val="be-BY" w:eastAsia="zh-CN" w:bidi="zh-CN"/>
        </w:rPr>
      </w:pPr>
      <w:r w:rsidRPr="00C836BF">
        <w:rPr>
          <w:rFonts w:eastAsia="Calibri"/>
          <w:b/>
          <w:bCs/>
          <w:sz w:val="28"/>
          <w:szCs w:val="28"/>
          <w:lang w:val="be-BY" w:eastAsia="zh-CN" w:bidi="zh-CN"/>
        </w:rPr>
        <w:t>Входные параметры:</w:t>
      </w:r>
    </w:p>
    <w:p w:rsidR="0083572E" w:rsidRPr="00C836BF" w:rsidRDefault="0083572E" w:rsidP="0083572E">
      <w:pPr>
        <w:jc w:val="both"/>
        <w:rPr>
          <w:rFonts w:eastAsia="Calibri"/>
          <w:b/>
          <w:bCs/>
          <w:sz w:val="28"/>
          <w:szCs w:val="28"/>
          <w:lang w:val="be-BY" w:eastAsia="zh-CN" w:bidi="zh-CN"/>
        </w:rPr>
      </w:pPr>
      <w:r w:rsidRPr="00C836BF">
        <w:rPr>
          <w:rFonts w:eastAsia="Calibri"/>
          <w:b/>
          <w:bCs/>
          <w:i/>
          <w:iCs/>
          <w:sz w:val="28"/>
          <w:szCs w:val="28"/>
          <w:lang w:val="be-BY" w:eastAsia="zh-CN" w:bidi="zh-CN"/>
        </w:rPr>
        <w:t xml:space="preserve">(все параметры обязательны к заполнению, при отсутствии данных в поле указывается </w:t>
      </w:r>
      <w:r w:rsidRPr="00C836BF">
        <w:rPr>
          <w:rFonts w:eastAsia="Calibri"/>
          <w:i/>
          <w:iCs/>
          <w:sz w:val="28"/>
          <w:szCs w:val="28"/>
          <w:shd w:val="clear" w:color="auto" w:fill="FFF2CC"/>
          <w:lang w:val="be-BY" w:eastAsia="zh-CN" w:bidi="zh-CN"/>
        </w:rPr>
        <w:t>"</w:t>
      </w:r>
      <w:r w:rsidRPr="00C836BF">
        <w:rPr>
          <w:rFonts w:eastAsia="Calibri"/>
          <w:b/>
          <w:bCs/>
          <w:i/>
          <w:iCs/>
          <w:sz w:val="28"/>
          <w:szCs w:val="28"/>
          <w:shd w:val="clear" w:color="auto" w:fill="FFF2CC"/>
          <w:lang w:val="en-US" w:eastAsia="zh-CN" w:bidi="zh-CN"/>
        </w:rPr>
        <w:t>null</w:t>
      </w:r>
      <w:r w:rsidRPr="00C836BF">
        <w:rPr>
          <w:rFonts w:eastAsia="Calibri"/>
          <w:i/>
          <w:iCs/>
          <w:sz w:val="28"/>
          <w:szCs w:val="28"/>
          <w:shd w:val="clear" w:color="auto" w:fill="FFF2CC"/>
          <w:lang w:val="be-BY" w:eastAsia="zh-CN" w:bidi="zh-CN"/>
        </w:rPr>
        <w:t xml:space="preserve">" </w:t>
      </w:r>
      <w:r w:rsidRPr="00C836BF">
        <w:rPr>
          <w:rFonts w:eastAsia="Calibri"/>
          <w:b/>
          <w:i/>
          <w:iCs/>
          <w:sz w:val="28"/>
          <w:szCs w:val="28"/>
          <w:shd w:val="clear" w:color="auto" w:fill="FFF2CC"/>
          <w:lang w:val="be-BY" w:eastAsia="zh-CN" w:bidi="zh-CN"/>
        </w:rPr>
        <w:t>(без кавычек)</w:t>
      </w:r>
      <w:r w:rsidRPr="00C836BF">
        <w:rPr>
          <w:rFonts w:eastAsia="Calibri"/>
          <w:b/>
          <w:bCs/>
          <w:i/>
          <w:iCs/>
          <w:sz w:val="28"/>
          <w:szCs w:val="28"/>
          <w:shd w:val="clear" w:color="auto" w:fill="FFF2CC"/>
          <w:lang w:val="be-BY" w:eastAsia="zh-CN" w:bidi="zh-CN"/>
        </w:rPr>
        <w:t>)</w:t>
      </w:r>
    </w:p>
    <w:tbl>
      <w:tblPr>
        <w:tblW w:w="9643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1"/>
        <w:gridCol w:w="1318"/>
        <w:gridCol w:w="5314"/>
      </w:tblGrid>
      <w:tr w:rsidR="0083572E" w:rsidRPr="00C836BF" w:rsidTr="00E003D9">
        <w:trPr>
          <w:trHeight w:val="567"/>
        </w:trPr>
        <w:tc>
          <w:tcPr>
            <w:tcW w:w="3011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Поле</w:t>
            </w:r>
          </w:p>
        </w:tc>
        <w:tc>
          <w:tcPr>
            <w:tcW w:w="1318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Тип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Описание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address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Место совершения операции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 xml:space="preserve"> Строка переменной длины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</w:tcPr>
          <w:p w:rsidR="0083572E" w:rsidRPr="00C836BF" w:rsidRDefault="0083572E" w:rsidP="00E003D9">
            <w:pPr>
              <w:ind w:firstLine="29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gni_location</w:t>
            </w:r>
          </w:p>
        </w:tc>
        <w:tc>
          <w:tcPr>
            <w:tcW w:w="1318" w:type="dxa"/>
          </w:tcPr>
          <w:p w:rsidR="0083572E" w:rsidRPr="00C836BF" w:rsidRDefault="0083572E" w:rsidP="00E003D9">
            <w:pPr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str </w:t>
            </w:r>
          </w:p>
          <w:p w:rsidR="0083572E" w:rsidRPr="00C836BF" w:rsidRDefault="0083572E" w:rsidP="00E003D9">
            <w:pPr>
              <w:rPr>
                <w:rFonts w:eastAsia="Calibri"/>
                <w:sz w:val="28"/>
                <w:szCs w:val="28"/>
                <w:lang w:val="be-BY" w:eastAsia="zh-CN" w:bidi="zh-CN"/>
              </w:rPr>
            </w:pPr>
          </w:p>
        </w:tc>
        <w:tc>
          <w:tcPr>
            <w:tcW w:w="5314" w:type="dxa"/>
          </w:tcPr>
          <w:p w:rsidR="0083572E" w:rsidRPr="00C836BF" w:rsidRDefault="0083572E" w:rsidP="00E003D9">
            <w:pPr>
              <w:jc w:val="both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Код ИМНС по месту расположения торгового объекта, продажи товара</w:t>
            </w:r>
          </w:p>
          <w:p w:rsidR="0083572E" w:rsidRPr="00C836BF" w:rsidRDefault="0083572E" w:rsidP="00E003D9">
            <w:pPr>
              <w:jc w:val="both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Шаблон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: [0-9]{3}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trading_object_name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Наименование торгового объекта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trader_unp</w:t>
            </w:r>
          </w:p>
        </w:tc>
        <w:tc>
          <w:tcPr>
            <w:tcW w:w="1318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int</w:t>
            </w:r>
          </w:p>
        </w:tc>
        <w:tc>
          <w:tcPr>
            <w:tcW w:w="5314" w:type="dxa"/>
            <w:shd w:val="clear" w:color="auto" w:fill="FFF2CC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УНП субъекта хозяйствования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sks_name</w:t>
            </w:r>
          </w:p>
        </w:tc>
        <w:tc>
          <w:tcPr>
            <w:tcW w:w="1318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5314" w:type="dxa"/>
            <w:shd w:val="clear" w:color="auto" w:fill="FFF2CC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Наименование АИС Субъекта хозяйствования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bookmarkStart w:id="3" w:name="_Hlk198826547"/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sks_workplace_number</w:t>
            </w:r>
          </w:p>
        </w:tc>
        <w:tc>
          <w:tcPr>
            <w:tcW w:w="1318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5314" w:type="dxa"/>
            <w:shd w:val="clear" w:color="auto" w:fill="FFF2CC"/>
          </w:tcPr>
          <w:p w:rsidR="0083572E" w:rsidRPr="00C836BF" w:rsidRDefault="0083572E" w:rsidP="00E003D9">
            <w:pPr>
              <w:widowControl w:val="0"/>
              <w:rPr>
                <w:rFonts w:eastAsia="Calibri"/>
                <w:strike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be-BY" w:eastAsia="zh-CN" w:bidi="zh-CN"/>
              </w:rPr>
              <w:t>"</w:t>
            </w: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en-US" w:eastAsia="zh-CN" w:bidi="zh-CN"/>
              </w:rPr>
              <w:t>null</w:t>
            </w: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be-BY" w:eastAsia="zh-CN" w:bidi="zh-CN"/>
              </w:rPr>
              <w:t xml:space="preserve">"(без кавычек) - </w:t>
            </w: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при использовании метода другими субъектами хозяйствования (не СКС)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message_number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int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jc w:val="both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Уникальный номер сообщения</w:t>
            </w:r>
          </w:p>
          <w:p w:rsidR="0083572E" w:rsidRPr="00C836BF" w:rsidRDefault="0083572E" w:rsidP="00E003D9">
            <w:pPr>
              <w:widowControl w:val="0"/>
              <w:jc w:val="both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 учетом сквозной нумерации для всех типов передаваемых в СККО сообщений (продажа, возврат, аннулирование) - XXXX.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currency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Наименование (буквенный код) валюты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Формат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: в соответствии с ОКРБ 016-99</w:t>
            </w:r>
          </w:p>
        </w:tc>
      </w:tr>
      <w:tr w:rsidR="0083572E" w:rsidRPr="00CB0180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issued_at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str(год-месяц-число час:минута:секунда)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Дата и время передачи товара покупателю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iCs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yyyy-MM-ddTHH:mm:ss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payment_document_number</w:t>
            </w:r>
          </w:p>
        </w:tc>
        <w:tc>
          <w:tcPr>
            <w:tcW w:w="1318" w:type="dxa"/>
            <w:shd w:val="clear" w:color="auto" w:fill="FFF2CC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int</w:t>
            </w:r>
          </w:p>
        </w:tc>
        <w:tc>
          <w:tcPr>
            <w:tcW w:w="5314" w:type="dxa"/>
            <w:shd w:val="clear" w:color="auto" w:fill="FFF2CC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be-BY" w:eastAsia="zh-CN" w:bidi="zh-CN"/>
              </w:rPr>
              <w:t>"</w:t>
            </w: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en-US" w:eastAsia="zh-CN" w:bidi="zh-CN"/>
              </w:rPr>
              <w:t>null</w:t>
            </w:r>
            <w:r w:rsidRPr="00C836BF">
              <w:rPr>
                <w:rFonts w:eastAsia="Calibri"/>
                <w:bCs/>
                <w:i/>
                <w:iCs/>
                <w:sz w:val="28"/>
                <w:szCs w:val="28"/>
                <w:lang w:val="be-BY" w:eastAsia="zh-CN" w:bidi="zh-CN"/>
              </w:rPr>
              <w:t xml:space="preserve">"(без кавычек) - </w:t>
            </w: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при использовании метода другими субъектами хозяйствования (не СКС)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trike/>
                <w:sz w:val="28"/>
                <w:szCs w:val="28"/>
                <w:lang w:val="be-BY" w:eastAsia="zh-CN" w:bidi="zh-CN"/>
              </w:rPr>
            </w:pPr>
          </w:p>
        </w:tc>
      </w:tr>
      <w:bookmarkEnd w:id="3"/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lastRenderedPageBreak/>
              <w:t>positions</w:t>
            </w:r>
          </w:p>
        </w:tc>
        <w:tc>
          <w:tcPr>
            <w:tcW w:w="1318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Array [position]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Описание полей представлено в таблице «Position»</w:t>
            </w:r>
          </w:p>
        </w:tc>
      </w:tr>
      <w:tr w:rsidR="0083572E" w:rsidRPr="00C836BF" w:rsidTr="00E003D9">
        <w:trPr>
          <w:trHeight w:val="567"/>
        </w:trPr>
        <w:tc>
          <w:tcPr>
            <w:tcW w:w="3011" w:type="dxa"/>
            <w:vAlign w:val="center"/>
          </w:tcPr>
          <w:p w:rsidR="0083572E" w:rsidRPr="00C836BF" w:rsidRDefault="0083572E" w:rsidP="00E003D9">
            <w:pPr>
              <w:widowControl w:val="0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eds</w:t>
            </w:r>
          </w:p>
        </w:tc>
        <w:tc>
          <w:tcPr>
            <w:tcW w:w="1318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String</w:t>
            </w:r>
          </w:p>
        </w:tc>
        <w:tc>
          <w:tcPr>
            <w:tcW w:w="5314" w:type="dxa"/>
          </w:tcPr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ТЭЦП</w:t>
            </w:r>
          </w:p>
          <w:p w:rsidR="0083572E" w:rsidRPr="00C836BF" w:rsidRDefault="0083572E" w:rsidP="00E003D9">
            <w:pPr>
              <w:widowControl w:val="0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</w:t>
            </w:r>
          </w:p>
        </w:tc>
      </w:tr>
    </w:tbl>
    <w:p w:rsidR="0083572E" w:rsidRPr="00C836BF" w:rsidRDefault="0083572E" w:rsidP="0083572E">
      <w:pPr>
        <w:spacing w:before="120" w:after="160" w:line="259" w:lineRule="auto"/>
        <w:rPr>
          <w:rFonts w:eastAsia="Calibri"/>
          <w:sz w:val="28"/>
          <w:szCs w:val="28"/>
          <w:lang w:val="be-BY" w:eastAsia="zh-CN" w:bidi="zh-CN"/>
        </w:rPr>
      </w:pPr>
      <w:r w:rsidRPr="00C836BF">
        <w:rPr>
          <w:rFonts w:eastAsia="Calibri"/>
          <w:sz w:val="28"/>
          <w:szCs w:val="28"/>
          <w:lang w:val="be-BY" w:eastAsia="zh-CN" w:bidi="zh-CN"/>
        </w:rPr>
        <w:t>Positions:</w:t>
      </w:r>
    </w:p>
    <w:tbl>
      <w:tblPr>
        <w:tblW w:w="9643" w:type="dxa"/>
        <w:tblInd w:w="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3"/>
        <w:gridCol w:w="973"/>
        <w:gridCol w:w="6237"/>
      </w:tblGrid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marking_type</w:t>
            </w:r>
          </w:p>
        </w:tc>
        <w:tc>
          <w:tcPr>
            <w:tcW w:w="97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int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Тип маркировки: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0 — нет кода маркировки и УКЗ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1 — есть код маркировки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2 — есть УКЗ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3 — есть код маркировки и УКЗ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16 — нет кода маркировки, имеет GTIN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17 — есть одна маркировка СИ и GTIN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18 — есть одна маркировка УКЗ и GTIN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19 — есть две маркировки СИ и УКЗ и GTIN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20 — есть одна не идентифицированная при сканировании маркировка СКАН-1 и GTIN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28 — есть две не идентифицированная при сканировании маркировки СКАН-1 и СКАН-2 и GTIN при этом: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ind w:hanging="605"/>
              <w:rPr>
                <w:rFonts w:eastAsia="Calibri"/>
                <w:i/>
                <w:i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i/>
                <w:iCs/>
                <w:sz w:val="28"/>
                <w:szCs w:val="28"/>
                <w:lang w:val="be-BY" w:eastAsia="zh-CN" w:bidi="zh-CN"/>
              </w:rPr>
              <w:t>СКАН-1 – первый отсканированный (не идентифицированный) код маркировки;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i/>
                <w:iCs/>
                <w:sz w:val="28"/>
                <w:szCs w:val="28"/>
                <w:lang w:val="be-BY" w:eastAsia="zh-CN" w:bidi="zh-CN"/>
              </w:rPr>
              <w:t>СКАН-2 – второй отсканированный (не идентифицированный) код маркировки.</w:t>
            </w:r>
          </w:p>
        </w:tc>
      </w:tr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marking_code</w:t>
            </w:r>
          </w:p>
        </w:tc>
        <w:tc>
          <w:tcPr>
            <w:tcW w:w="97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Код маркировки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jc w:val="both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длины, до 256 символов</w:t>
            </w:r>
          </w:p>
        </w:tc>
      </w:tr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ukz_code</w:t>
            </w:r>
          </w:p>
        </w:tc>
        <w:tc>
          <w:tcPr>
            <w:tcW w:w="97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Код УКЗ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jc w:val="both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длины, до 64 символов</w:t>
            </w:r>
          </w:p>
        </w:tc>
      </w:tr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ean</w:t>
            </w:r>
          </w:p>
        </w:tc>
        <w:tc>
          <w:tcPr>
            <w:tcW w:w="973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GTIN товара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sz w:val="28"/>
                <w:szCs w:val="28"/>
                <w:lang w:val="be-BY" w:eastAsia="zh-CN" w:bidi="zh-CN"/>
              </w:rPr>
              <w:t>Шаблон: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[0-9]{13}</w:t>
            </w:r>
          </w:p>
        </w:tc>
      </w:tr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name</w:t>
            </w:r>
          </w:p>
        </w:tc>
        <w:tc>
          <w:tcPr>
            <w:tcW w:w="973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str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Наименование маркированного товара N 1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jc w:val="both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Формат: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Строка переменной длины</w:t>
            </w:r>
          </w:p>
        </w:tc>
      </w:tr>
      <w:tr w:rsidR="0083572E" w:rsidRPr="00C836BF" w:rsidTr="00E003D9">
        <w:tc>
          <w:tcPr>
            <w:tcW w:w="2433" w:type="dxa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amount</w:t>
            </w:r>
          </w:p>
        </w:tc>
        <w:tc>
          <w:tcPr>
            <w:tcW w:w="973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float</w:t>
            </w:r>
          </w:p>
        </w:tc>
        <w:tc>
          <w:tcPr>
            <w:tcW w:w="6237" w:type="dxa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Сумма возврата за единицу товара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Ограничение: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от 0,00 до + 549755813887,99</w:t>
            </w:r>
          </w:p>
        </w:tc>
      </w:tr>
      <w:tr w:rsidR="0083572E" w:rsidRPr="00C836BF" w:rsidTr="00E003D9">
        <w:tc>
          <w:tcPr>
            <w:tcW w:w="2433" w:type="dxa"/>
            <w:shd w:val="clear" w:color="auto" w:fill="auto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discount</w:t>
            </w:r>
          </w:p>
        </w:tc>
        <w:tc>
          <w:tcPr>
            <w:tcW w:w="973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float</w:t>
            </w:r>
          </w:p>
        </w:tc>
        <w:tc>
          <w:tcPr>
            <w:tcW w:w="6237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Сумма скидки для маркированного товара N 1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Ограничение: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от 0,00 до + 549755813887,99</w:t>
            </w:r>
          </w:p>
        </w:tc>
      </w:tr>
      <w:tr w:rsidR="0083572E" w:rsidRPr="00C836BF" w:rsidTr="00E003D9">
        <w:tc>
          <w:tcPr>
            <w:tcW w:w="2433" w:type="dxa"/>
            <w:shd w:val="clear" w:color="auto" w:fill="auto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surcharge</w:t>
            </w:r>
          </w:p>
        </w:tc>
        <w:tc>
          <w:tcPr>
            <w:tcW w:w="973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float</w:t>
            </w:r>
          </w:p>
        </w:tc>
        <w:tc>
          <w:tcPr>
            <w:tcW w:w="6237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Сумма надбавки для маркированного товара N 1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Ограничение: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от 0,00 до + 549755813887,99</w:t>
            </w:r>
          </w:p>
        </w:tc>
      </w:tr>
      <w:tr w:rsidR="0083572E" w:rsidRPr="00C836BF" w:rsidTr="00E003D9">
        <w:tc>
          <w:tcPr>
            <w:tcW w:w="2433" w:type="dxa"/>
            <w:shd w:val="clear" w:color="auto" w:fill="auto"/>
            <w:vAlign w:val="center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Cs/>
                <w:sz w:val="28"/>
                <w:szCs w:val="28"/>
                <w:lang w:val="be-BY" w:eastAsia="zh-CN" w:bidi="zh-CN"/>
              </w:rPr>
              <w:t>product_count</w:t>
            </w:r>
          </w:p>
        </w:tc>
        <w:tc>
          <w:tcPr>
            <w:tcW w:w="973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b/>
                <w:bCs/>
                <w:color w:val="C00000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float</w:t>
            </w:r>
          </w:p>
        </w:tc>
        <w:tc>
          <w:tcPr>
            <w:tcW w:w="6237" w:type="dxa"/>
            <w:shd w:val="clear" w:color="auto" w:fill="auto"/>
          </w:tcPr>
          <w:p w:rsidR="0083572E" w:rsidRPr="00C836BF" w:rsidRDefault="0083572E" w:rsidP="00E003D9">
            <w:pPr>
              <w:widowControl w:val="0"/>
              <w:spacing w:line="280" w:lineRule="exact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>Количество товара</w:t>
            </w:r>
          </w:p>
          <w:p w:rsidR="0083572E" w:rsidRPr="00C836BF" w:rsidRDefault="0083572E" w:rsidP="00E003D9">
            <w:pPr>
              <w:widowControl w:val="0"/>
              <w:spacing w:line="280" w:lineRule="exact"/>
              <w:ind w:right="-108"/>
              <w:rPr>
                <w:rFonts w:eastAsia="Calibri"/>
                <w:sz w:val="28"/>
                <w:szCs w:val="28"/>
                <w:lang w:val="be-BY" w:eastAsia="zh-CN" w:bidi="zh-CN"/>
              </w:rPr>
            </w:pPr>
            <w:r w:rsidRPr="00C836BF">
              <w:rPr>
                <w:rFonts w:eastAsia="Calibri"/>
                <w:b/>
                <w:bCs/>
                <w:sz w:val="28"/>
                <w:szCs w:val="28"/>
                <w:lang w:val="be-BY" w:eastAsia="zh-CN" w:bidi="zh-CN"/>
              </w:rPr>
              <w:t>Ограничение:</w:t>
            </w:r>
            <w:r w:rsidRPr="00C836BF">
              <w:rPr>
                <w:rFonts w:eastAsia="Calibri"/>
                <w:sz w:val="28"/>
                <w:szCs w:val="28"/>
                <w:lang w:val="be-BY" w:eastAsia="zh-CN" w:bidi="zh-CN"/>
              </w:rPr>
              <w:t xml:space="preserve"> от 0,00 до + 549755813887,99</w:t>
            </w:r>
          </w:p>
        </w:tc>
      </w:tr>
    </w:tbl>
    <w:p w:rsidR="0083572E" w:rsidRPr="00C836BF" w:rsidRDefault="0083572E" w:rsidP="0083572E">
      <w:pPr>
        <w:spacing w:after="160" w:line="259" w:lineRule="auto"/>
        <w:rPr>
          <w:rFonts w:ascii="Calibri" w:eastAsia="Calibri" w:hAnsi="Calibri" w:cs="Calibri"/>
          <w:sz w:val="22"/>
          <w:szCs w:val="22"/>
          <w:lang w:val="be-BY" w:eastAsia="zh-CN" w:bidi="zh-CN"/>
        </w:rPr>
      </w:pPr>
    </w:p>
    <w:p w:rsidR="00C9219C" w:rsidRPr="0083572E" w:rsidRDefault="00C9219C">
      <w:pPr>
        <w:rPr>
          <w:lang w:val="be-BY"/>
        </w:rPr>
      </w:pPr>
    </w:p>
    <w:sectPr w:rsidR="00C9219C" w:rsidRPr="008357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72E"/>
    <w:rsid w:val="0083572E"/>
    <w:rsid w:val="00C9219C"/>
    <w:rsid w:val="00CB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C3809A"/>
  <w15:chartTrackingRefBased/>
  <w15:docId w15:val="{270EE517-B628-42D9-805F-DA7A95BA2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57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3572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-center.by/upload/skko/&#1048;&#1085;&#1089;&#1090;&#1088;&#1091;&#1082;&#1094;&#1080;&#1103;_API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939</Words>
  <Characters>5353</Characters>
  <Application>Microsoft Office Word</Application>
  <DocSecurity>0</DocSecurity>
  <Lines>44</Lines>
  <Paragraphs>12</Paragraphs>
  <ScaleCrop>false</ScaleCrop>
  <Company/>
  <LinksUpToDate>false</LinksUpToDate>
  <CharactersWithSpaces>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Шикуть Виктория Алексеевна</cp:lastModifiedBy>
  <cp:revision>2</cp:revision>
  <dcterms:created xsi:type="dcterms:W3CDTF">2025-06-25T13:53:00Z</dcterms:created>
  <dcterms:modified xsi:type="dcterms:W3CDTF">2025-07-01T07:57:00Z</dcterms:modified>
</cp:coreProperties>
</file>